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6313B" w14:textId="77777777" w:rsidR="0088799F" w:rsidRDefault="008B668C">
      <w:pPr>
        <w:spacing w:after="120"/>
        <w:jc w:val="center"/>
        <w:rPr>
          <w:rFonts w:ascii="Arial" w:eastAsia="Arial" w:hAnsi="Arial" w:cs="Arial"/>
          <w:b/>
          <w:sz w:val="28"/>
          <w:szCs w:val="28"/>
        </w:rPr>
      </w:pPr>
      <w:bookmarkStart w:id="0" w:name="_GoBack"/>
      <w:bookmarkEnd w:id="0"/>
      <w:r>
        <w:rPr>
          <w:rFonts w:ascii="Arial" w:eastAsia="Arial" w:hAnsi="Arial" w:cs="Arial"/>
          <w:b/>
          <w:noProof/>
          <w:sz w:val="28"/>
          <w:szCs w:val="28"/>
        </w:rPr>
        <w:drawing>
          <wp:inline distT="0" distB="0" distL="0" distR="0" wp14:anchorId="330A2FB4" wp14:editId="28D4EAF4">
            <wp:extent cx="6858000" cy="1948180"/>
            <wp:effectExtent l="0" t="0" r="0" b="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6858000" cy="1948180"/>
                    </a:xfrm>
                    <a:prstGeom prst="rect">
                      <a:avLst/>
                    </a:prstGeom>
                    <a:ln/>
                  </pic:spPr>
                </pic:pic>
              </a:graphicData>
            </a:graphic>
          </wp:inline>
        </w:drawing>
      </w:r>
      <w:r>
        <w:rPr>
          <w:rFonts w:ascii="Arial" w:eastAsia="Arial" w:hAnsi="Arial" w:cs="Arial"/>
          <w:b/>
          <w:sz w:val="28"/>
          <w:szCs w:val="28"/>
        </w:rPr>
        <w:t>WHAT IS PREVENTION SCIENCE?</w:t>
      </w:r>
    </w:p>
    <w:p w14:paraId="016B7D01" w14:textId="77777777" w:rsidR="0088799F" w:rsidRDefault="008B668C">
      <w:pPr>
        <w:spacing w:after="120"/>
        <w:rPr>
          <w:rFonts w:ascii="Arial" w:eastAsia="Arial" w:hAnsi="Arial" w:cs="Arial"/>
          <w:sz w:val="24"/>
          <w:szCs w:val="24"/>
        </w:rPr>
      </w:pPr>
      <w:r>
        <w:rPr>
          <w:rFonts w:ascii="Arial" w:eastAsia="Arial" w:hAnsi="Arial" w:cs="Arial"/>
          <w:sz w:val="24"/>
          <w:szCs w:val="24"/>
        </w:rPr>
        <w:t xml:space="preserve">Prevention science focuses on the development of evidence-based strategies that reduce risk factors and enhance protective factors to improve the health and wellbeing of individuals, families, and communities. Prevention science draws from a diverse range </w:t>
      </w:r>
      <w:r>
        <w:rPr>
          <w:rFonts w:ascii="Arial" w:eastAsia="Arial" w:hAnsi="Arial" w:cs="Arial"/>
          <w:sz w:val="24"/>
          <w:szCs w:val="24"/>
        </w:rPr>
        <w:t>of disciplines—including the epidemiological, social, psychological, behavioral, medical, and neurobiological sciences—to understand the determinants of societal, community and individual level problems (e.g., trauma, poverty, maltreatment). A central tene</w:t>
      </w:r>
      <w:r>
        <w:rPr>
          <w:rFonts w:ascii="Arial" w:eastAsia="Arial" w:hAnsi="Arial" w:cs="Arial"/>
          <w:sz w:val="24"/>
          <w:szCs w:val="24"/>
        </w:rPr>
        <w:t xml:space="preserve">t of prevention science is the promotion of health equity and reduction of disparities by studying how social, economic and racial inequalities and discrimination influence healthy development and wellbeing.  For well over 50 years, prevention science has </w:t>
      </w:r>
      <w:r>
        <w:rPr>
          <w:rFonts w:ascii="Arial" w:eastAsia="Arial" w:hAnsi="Arial" w:cs="Arial"/>
          <w:sz w:val="24"/>
          <w:szCs w:val="24"/>
        </w:rPr>
        <w:t xml:space="preserve">generated practices and policies that have improved countless lives throughout the lifespan by avoiding negative health and social outcomes (e.g., addiction, academic failure, violence, mental illness) and strengthening conditions that enable individuals, </w:t>
      </w:r>
      <w:r>
        <w:rPr>
          <w:rFonts w:ascii="Arial" w:eastAsia="Arial" w:hAnsi="Arial" w:cs="Arial"/>
          <w:sz w:val="24"/>
          <w:szCs w:val="24"/>
        </w:rPr>
        <w:t>families, and communities to thrive.</w:t>
      </w:r>
    </w:p>
    <w:p w14:paraId="13A7374E" w14:textId="77777777" w:rsidR="0088799F" w:rsidRDefault="008B668C">
      <w:pPr>
        <w:spacing w:after="120"/>
        <w:rPr>
          <w:rFonts w:ascii="Arial" w:eastAsia="Arial" w:hAnsi="Arial" w:cs="Arial"/>
          <w:sz w:val="24"/>
          <w:szCs w:val="24"/>
        </w:rPr>
      </w:pPr>
      <w:r>
        <w:rPr>
          <w:rFonts w:ascii="Arial" w:eastAsia="Arial" w:hAnsi="Arial" w:cs="Arial"/>
          <w:sz w:val="24"/>
          <w:szCs w:val="24"/>
        </w:rPr>
        <w:t>The policies, programs, and practices generated by the field have been shown to reduce the incidence and prevalence of individual and community vulnerabilities and to promote healthy lifestyles, including:</w:t>
      </w:r>
    </w:p>
    <w:p w14:paraId="110157B3" w14:textId="77777777" w:rsidR="0088799F" w:rsidRDefault="008B668C">
      <w:pPr>
        <w:numPr>
          <w:ilvl w:val="0"/>
          <w:numId w:val="1"/>
        </w:numPr>
        <w:spacing w:after="0"/>
        <w:rPr>
          <w:rFonts w:ascii="Arial" w:eastAsia="Arial" w:hAnsi="Arial" w:cs="Arial"/>
          <w:sz w:val="24"/>
          <w:szCs w:val="24"/>
        </w:rPr>
      </w:pPr>
      <w:r>
        <w:rPr>
          <w:rFonts w:ascii="Arial" w:eastAsia="Arial" w:hAnsi="Arial" w:cs="Arial"/>
          <w:sz w:val="24"/>
          <w:szCs w:val="24"/>
        </w:rPr>
        <w:t>Promoting dai</w:t>
      </w:r>
      <w:r>
        <w:rPr>
          <w:rFonts w:ascii="Arial" w:eastAsia="Arial" w:hAnsi="Arial" w:cs="Arial"/>
          <w:sz w:val="24"/>
          <w:szCs w:val="24"/>
        </w:rPr>
        <w:t>ly physical activity and good nutrition to protect against chronic disease;</w:t>
      </w:r>
    </w:p>
    <w:p w14:paraId="7B8E1B05" w14:textId="77777777" w:rsidR="0088799F" w:rsidRDefault="008B668C">
      <w:pPr>
        <w:numPr>
          <w:ilvl w:val="0"/>
          <w:numId w:val="1"/>
        </w:numPr>
        <w:spacing w:after="0"/>
        <w:rPr>
          <w:rFonts w:ascii="Arial" w:eastAsia="Arial" w:hAnsi="Arial" w:cs="Arial"/>
          <w:sz w:val="24"/>
          <w:szCs w:val="24"/>
        </w:rPr>
      </w:pPr>
      <w:r>
        <w:rPr>
          <w:rFonts w:ascii="Arial" w:eastAsia="Arial" w:hAnsi="Arial" w:cs="Arial"/>
          <w:sz w:val="24"/>
          <w:szCs w:val="24"/>
        </w:rPr>
        <w:t>Disrupting pathways to substance use, abuse and addiction across the lifespan;</w:t>
      </w:r>
    </w:p>
    <w:p w14:paraId="15AF7EBA" w14:textId="77777777" w:rsidR="0088799F" w:rsidRDefault="008B668C">
      <w:pPr>
        <w:numPr>
          <w:ilvl w:val="0"/>
          <w:numId w:val="1"/>
        </w:numPr>
        <w:spacing w:after="0"/>
        <w:rPr>
          <w:rFonts w:ascii="Arial" w:eastAsia="Arial" w:hAnsi="Arial" w:cs="Arial"/>
          <w:sz w:val="24"/>
          <w:szCs w:val="24"/>
        </w:rPr>
      </w:pPr>
      <w:r>
        <w:rPr>
          <w:rFonts w:ascii="Arial" w:eastAsia="Arial" w:hAnsi="Arial" w:cs="Arial"/>
          <w:sz w:val="24"/>
          <w:szCs w:val="24"/>
        </w:rPr>
        <w:t>Improving academic and behavioral outcomes with the expansion of high-quality childcare and early lea</w:t>
      </w:r>
      <w:r>
        <w:rPr>
          <w:rFonts w:ascii="Arial" w:eastAsia="Arial" w:hAnsi="Arial" w:cs="Arial"/>
          <w:sz w:val="24"/>
          <w:szCs w:val="24"/>
        </w:rPr>
        <w:t>rning and development, and promoting positive and supportive school environments;</w:t>
      </w:r>
    </w:p>
    <w:p w14:paraId="089D50A8" w14:textId="77777777" w:rsidR="0088799F" w:rsidRDefault="008B668C">
      <w:pPr>
        <w:numPr>
          <w:ilvl w:val="0"/>
          <w:numId w:val="1"/>
        </w:numPr>
        <w:spacing w:after="0"/>
        <w:rPr>
          <w:rFonts w:ascii="Arial" w:eastAsia="Arial" w:hAnsi="Arial" w:cs="Arial"/>
          <w:sz w:val="24"/>
          <w:szCs w:val="24"/>
        </w:rPr>
      </w:pPr>
      <w:r>
        <w:rPr>
          <w:rFonts w:ascii="Arial" w:eastAsia="Arial" w:hAnsi="Arial" w:cs="Arial"/>
          <w:sz w:val="24"/>
          <w:szCs w:val="24"/>
        </w:rPr>
        <w:t>Enhancing community-wide capacity to attenuate detrimental conditions and increase access to supportive services;</w:t>
      </w:r>
    </w:p>
    <w:p w14:paraId="162C0185" w14:textId="77777777" w:rsidR="0088799F" w:rsidRDefault="008B668C">
      <w:pPr>
        <w:numPr>
          <w:ilvl w:val="0"/>
          <w:numId w:val="1"/>
        </w:numPr>
        <w:spacing w:after="0"/>
        <w:rPr>
          <w:rFonts w:ascii="Arial" w:eastAsia="Arial" w:hAnsi="Arial" w:cs="Arial"/>
          <w:sz w:val="24"/>
          <w:szCs w:val="24"/>
        </w:rPr>
      </w:pPr>
      <w:r>
        <w:rPr>
          <w:rFonts w:ascii="Arial" w:eastAsia="Arial" w:hAnsi="Arial" w:cs="Arial"/>
          <w:sz w:val="24"/>
          <w:szCs w:val="24"/>
        </w:rPr>
        <w:t>Increasing resilience, social competency and self-regulation</w:t>
      </w:r>
      <w:r>
        <w:rPr>
          <w:rFonts w:ascii="Arial" w:eastAsia="Arial" w:hAnsi="Arial" w:cs="Arial"/>
          <w:sz w:val="24"/>
          <w:szCs w:val="24"/>
        </w:rPr>
        <w:t xml:space="preserve"> in order to reduce impulsive, aggressive and off-task behavior; and</w:t>
      </w:r>
    </w:p>
    <w:p w14:paraId="3142FF8B" w14:textId="77777777" w:rsidR="0088799F" w:rsidRDefault="008B668C">
      <w:pPr>
        <w:numPr>
          <w:ilvl w:val="0"/>
          <w:numId w:val="1"/>
        </w:numPr>
        <w:spacing w:after="120"/>
        <w:rPr>
          <w:rFonts w:ascii="Arial" w:eastAsia="Arial" w:hAnsi="Arial" w:cs="Arial"/>
          <w:sz w:val="24"/>
          <w:szCs w:val="24"/>
        </w:rPr>
      </w:pPr>
      <w:r>
        <w:rPr>
          <w:rFonts w:ascii="Arial" w:eastAsia="Arial" w:hAnsi="Arial" w:cs="Arial"/>
          <w:sz w:val="24"/>
          <w:szCs w:val="24"/>
        </w:rPr>
        <w:t>Supporting the development of healthy relationships to reduce interpersonal and domestic violence.</w:t>
      </w:r>
    </w:p>
    <w:p w14:paraId="7252421F" w14:textId="77777777" w:rsidR="0088799F" w:rsidRDefault="008B668C">
      <w:pPr>
        <w:spacing w:after="120"/>
        <w:rPr>
          <w:rFonts w:ascii="Arial" w:eastAsia="Arial" w:hAnsi="Arial" w:cs="Arial"/>
          <w:sz w:val="24"/>
          <w:szCs w:val="24"/>
        </w:rPr>
      </w:pPr>
      <w:r>
        <w:rPr>
          <w:rFonts w:ascii="Arial" w:eastAsia="Arial" w:hAnsi="Arial" w:cs="Arial"/>
          <w:sz w:val="24"/>
          <w:szCs w:val="24"/>
        </w:rPr>
        <w:t>Moreover, evidence-based prevention strategies that address systemic and structural ineq</w:t>
      </w:r>
      <w:r>
        <w:rPr>
          <w:rFonts w:ascii="Arial" w:eastAsia="Arial" w:hAnsi="Arial" w:cs="Arial"/>
          <w:sz w:val="24"/>
          <w:szCs w:val="24"/>
        </w:rPr>
        <w:t>ualities in neighborhoods, educational, and criminal justice practices have been developed and implemented.</w:t>
      </w:r>
    </w:p>
    <w:p w14:paraId="58BF9C2A" w14:textId="77777777" w:rsidR="0088799F" w:rsidRDefault="008B668C">
      <w:pPr>
        <w:spacing w:after="120"/>
        <w:rPr>
          <w:rFonts w:ascii="Arial" w:eastAsia="Arial" w:hAnsi="Arial" w:cs="Arial"/>
          <w:sz w:val="24"/>
          <w:szCs w:val="24"/>
        </w:rPr>
      </w:pPr>
      <w:r>
        <w:rPr>
          <w:rFonts w:ascii="Arial" w:eastAsia="Arial" w:hAnsi="Arial" w:cs="Arial"/>
          <w:sz w:val="24"/>
          <w:szCs w:val="24"/>
        </w:rPr>
        <w:t xml:space="preserve">The application of well-tested practices, strategies and policies generated by prevention science can lead to substantial cost-savings by investing </w:t>
      </w:r>
      <w:r>
        <w:rPr>
          <w:rFonts w:ascii="Arial" w:eastAsia="Arial" w:hAnsi="Arial" w:cs="Arial"/>
          <w:sz w:val="24"/>
          <w:szCs w:val="24"/>
        </w:rPr>
        <w:t>in upstream strategies to avoid downstream costs. Examples of these investments include programs that prevent drug use in adolescents, reform educational practices, and support families to reduce the financial and human burden to communities. An integrated</w:t>
      </w:r>
      <w:r>
        <w:rPr>
          <w:rFonts w:ascii="Arial" w:eastAsia="Arial" w:hAnsi="Arial" w:cs="Arial"/>
          <w:sz w:val="24"/>
          <w:szCs w:val="24"/>
        </w:rPr>
        <w:t xml:space="preserve"> delivery system of comprehensive evidence-based prevention strategies that crosses many public sectors (e.g. education, child welfare, juvenile justice, health) is most cost-efficient and exerts wide scale benefits. Providing scientifically-based guidance</w:t>
      </w:r>
      <w:r>
        <w:rPr>
          <w:rFonts w:ascii="Arial" w:eastAsia="Arial" w:hAnsi="Arial" w:cs="Arial"/>
          <w:sz w:val="24"/>
          <w:szCs w:val="24"/>
        </w:rPr>
        <w:t xml:space="preserve"> and resources to legislative and </w:t>
      </w:r>
      <w:r>
        <w:rPr>
          <w:rFonts w:ascii="Arial" w:eastAsia="Arial" w:hAnsi="Arial" w:cs="Arial"/>
          <w:sz w:val="24"/>
          <w:szCs w:val="24"/>
        </w:rPr>
        <w:lastRenderedPageBreak/>
        <w:t>administrative decision-makers will facilitate the integration of best practices from prevention science into policy.</w:t>
      </w:r>
    </w:p>
    <w:p w14:paraId="49D6EFAB" w14:textId="77777777" w:rsidR="0088799F" w:rsidRDefault="008B668C">
      <w:pPr>
        <w:rPr>
          <w:rFonts w:ascii="Arial" w:eastAsia="Arial" w:hAnsi="Arial" w:cs="Arial"/>
          <w:sz w:val="24"/>
          <w:szCs w:val="24"/>
        </w:rPr>
      </w:pPr>
      <w:r>
        <w:rPr>
          <w:rFonts w:ascii="Arial" w:eastAsia="Arial" w:hAnsi="Arial" w:cs="Arial"/>
          <w:sz w:val="24"/>
          <w:szCs w:val="24"/>
        </w:rPr>
        <w:t>A wide range of effective, well-tested programs and policies are available to achieve these results. Mor</w:t>
      </w:r>
      <w:r>
        <w:rPr>
          <w:rFonts w:ascii="Arial" w:eastAsia="Arial" w:hAnsi="Arial" w:cs="Arial"/>
          <w:sz w:val="24"/>
          <w:szCs w:val="24"/>
        </w:rPr>
        <w:t xml:space="preserve">eover, the field continues to harness the potential for prevention science to improve lives on a population level by further expanding upon the evidence-base. The impact on individual lives, systems (e.g., schools, child welfare), communities, and society </w:t>
      </w:r>
      <w:r>
        <w:rPr>
          <w:rFonts w:ascii="Arial" w:eastAsia="Arial" w:hAnsi="Arial" w:cs="Arial"/>
          <w:sz w:val="24"/>
          <w:szCs w:val="24"/>
        </w:rPr>
        <w:t>can increase exponentially with additional investment of resources and systems to support the development, evaluation, and implementation of evidence-based programs and policies.</w:t>
      </w:r>
    </w:p>
    <w:p w14:paraId="55B548FD" w14:textId="77777777" w:rsidR="0088799F" w:rsidRDefault="0088799F">
      <w:pPr>
        <w:rPr>
          <w:rFonts w:ascii="Arial" w:eastAsia="Arial" w:hAnsi="Arial" w:cs="Arial"/>
        </w:rPr>
      </w:pPr>
    </w:p>
    <w:p w14:paraId="26BDF1E5" w14:textId="77777777" w:rsidR="0088799F" w:rsidRDefault="0088799F">
      <w:pPr>
        <w:rPr>
          <w:rFonts w:ascii="Arial" w:eastAsia="Arial" w:hAnsi="Arial" w:cs="Arial"/>
        </w:rPr>
      </w:pPr>
    </w:p>
    <w:p w14:paraId="5FF5ABD1" w14:textId="77777777" w:rsidR="0088799F" w:rsidRDefault="008B668C">
      <w:pPr>
        <w:rPr>
          <w:rFonts w:ascii="Arial" w:eastAsia="Arial" w:hAnsi="Arial" w:cs="Arial"/>
        </w:rPr>
      </w:pPr>
      <w:r>
        <w:rPr>
          <w:rFonts w:ascii="Arial" w:eastAsia="Arial" w:hAnsi="Arial" w:cs="Arial"/>
          <w:b/>
        </w:rPr>
        <w:t>Organizational Endorsements:</w:t>
      </w:r>
    </w:p>
    <w:p w14:paraId="6ECD51A8" w14:textId="77777777" w:rsidR="0088799F" w:rsidRDefault="008B668C">
      <w:pPr>
        <w:spacing w:after="0" w:line="240" w:lineRule="auto"/>
        <w:rPr>
          <w:rFonts w:ascii="Arial" w:eastAsia="Arial" w:hAnsi="Arial" w:cs="Arial"/>
        </w:rPr>
      </w:pPr>
      <w:r>
        <w:rPr>
          <w:rFonts w:ascii="Arial" w:eastAsia="Arial" w:hAnsi="Arial" w:cs="Arial"/>
        </w:rPr>
        <w:t>American Psychological Association</w:t>
      </w:r>
    </w:p>
    <w:p w14:paraId="55C286FA" w14:textId="77777777" w:rsidR="0088799F" w:rsidRDefault="008B668C">
      <w:pPr>
        <w:spacing w:after="0" w:line="240" w:lineRule="auto"/>
        <w:rPr>
          <w:rFonts w:ascii="Arial" w:eastAsia="Arial" w:hAnsi="Arial" w:cs="Arial"/>
        </w:rPr>
      </w:pPr>
      <w:r>
        <w:rPr>
          <w:rFonts w:ascii="Arial" w:eastAsia="Arial" w:hAnsi="Arial" w:cs="Arial"/>
        </w:rPr>
        <w:t>Applied Pre</w:t>
      </w:r>
      <w:r>
        <w:rPr>
          <w:rFonts w:ascii="Arial" w:eastAsia="Arial" w:hAnsi="Arial" w:cs="Arial"/>
        </w:rPr>
        <w:t>vention Science International</w:t>
      </w:r>
    </w:p>
    <w:p w14:paraId="22C102DC" w14:textId="77777777" w:rsidR="0088799F" w:rsidRDefault="008B668C">
      <w:pPr>
        <w:spacing w:after="0" w:line="240" w:lineRule="auto"/>
        <w:rPr>
          <w:rFonts w:ascii="Arial" w:eastAsia="Arial" w:hAnsi="Arial" w:cs="Arial"/>
        </w:rPr>
      </w:pPr>
      <w:r>
        <w:rPr>
          <w:rFonts w:ascii="Arial" w:eastAsia="Arial" w:hAnsi="Arial" w:cs="Arial"/>
        </w:rPr>
        <w:t>Behavioral Health and Research at The University of Texas Medical Branch</w:t>
      </w:r>
    </w:p>
    <w:p w14:paraId="619763D3" w14:textId="77777777" w:rsidR="0088799F" w:rsidRDefault="008B668C">
      <w:pPr>
        <w:spacing w:after="0" w:line="240" w:lineRule="auto"/>
        <w:rPr>
          <w:rFonts w:ascii="Arial" w:eastAsia="Arial" w:hAnsi="Arial" w:cs="Arial"/>
        </w:rPr>
      </w:pPr>
      <w:r>
        <w:rPr>
          <w:rFonts w:ascii="Arial" w:eastAsia="Arial" w:hAnsi="Arial" w:cs="Arial"/>
        </w:rPr>
        <w:t>Blueprints for Healthy Youth Development, University of Colorado Boulder</w:t>
      </w:r>
    </w:p>
    <w:p w14:paraId="07DD6E72" w14:textId="77777777" w:rsidR="0088799F" w:rsidRDefault="008B668C">
      <w:pPr>
        <w:spacing w:after="0" w:line="240" w:lineRule="auto"/>
        <w:rPr>
          <w:rFonts w:ascii="Arial" w:eastAsia="Arial" w:hAnsi="Arial" w:cs="Arial"/>
        </w:rPr>
      </w:pPr>
      <w:r>
        <w:rPr>
          <w:rFonts w:ascii="Arial" w:eastAsia="Arial" w:hAnsi="Arial" w:cs="Arial"/>
        </w:rPr>
        <w:t>Center for Mental Health in Schools &amp; Student/Learning Supports at UCLA</w:t>
      </w:r>
    </w:p>
    <w:p w14:paraId="54E2C841" w14:textId="77777777" w:rsidR="0088799F" w:rsidRDefault="008B668C">
      <w:pPr>
        <w:spacing w:after="0" w:line="240" w:lineRule="auto"/>
        <w:rPr>
          <w:rFonts w:ascii="Arial" w:eastAsia="Arial" w:hAnsi="Arial" w:cs="Arial"/>
        </w:rPr>
      </w:pPr>
      <w:r>
        <w:rPr>
          <w:rFonts w:ascii="Arial" w:eastAsia="Arial" w:hAnsi="Arial" w:cs="Arial"/>
        </w:rPr>
        <w:t>Children</w:t>
      </w:r>
      <w:r>
        <w:rPr>
          <w:rFonts w:ascii="Arial" w:eastAsia="Arial" w:hAnsi="Arial" w:cs="Arial"/>
        </w:rPr>
        <w:t xml:space="preserve">'s Mental Health Network </w:t>
      </w:r>
    </w:p>
    <w:p w14:paraId="1B295256" w14:textId="77777777" w:rsidR="0088799F" w:rsidRDefault="008B668C">
      <w:pPr>
        <w:spacing w:after="0" w:line="240" w:lineRule="auto"/>
        <w:rPr>
          <w:rFonts w:ascii="Arial" w:eastAsia="Arial" w:hAnsi="Arial" w:cs="Arial"/>
        </w:rPr>
      </w:pPr>
      <w:r>
        <w:rPr>
          <w:rFonts w:ascii="Arial" w:eastAsia="Arial" w:hAnsi="Arial" w:cs="Arial"/>
        </w:rPr>
        <w:t>Children’s Trust of South Carolina</w:t>
      </w:r>
    </w:p>
    <w:p w14:paraId="1B48763A" w14:textId="77777777" w:rsidR="0088799F" w:rsidRDefault="008B668C">
      <w:pPr>
        <w:spacing w:after="0" w:line="240" w:lineRule="auto"/>
        <w:rPr>
          <w:rFonts w:ascii="Arial" w:eastAsia="Arial" w:hAnsi="Arial" w:cs="Arial"/>
        </w:rPr>
      </w:pPr>
      <w:r>
        <w:rPr>
          <w:rFonts w:ascii="Arial" w:eastAsia="Arial" w:hAnsi="Arial" w:cs="Arial"/>
        </w:rPr>
        <w:t>Child Welfare League of America</w:t>
      </w:r>
    </w:p>
    <w:p w14:paraId="45EC3F66" w14:textId="77777777" w:rsidR="0088799F" w:rsidRDefault="008B668C">
      <w:pPr>
        <w:spacing w:after="0" w:line="240" w:lineRule="auto"/>
        <w:rPr>
          <w:rFonts w:ascii="Arial" w:eastAsia="Arial" w:hAnsi="Arial" w:cs="Arial"/>
        </w:rPr>
      </w:pPr>
      <w:r>
        <w:rPr>
          <w:rFonts w:ascii="Arial" w:eastAsia="Arial" w:hAnsi="Arial" w:cs="Arial"/>
        </w:rPr>
        <w:t>Coalition for the Promotion of Behavioral Health</w:t>
      </w:r>
    </w:p>
    <w:p w14:paraId="13490BF7" w14:textId="77777777" w:rsidR="0088799F" w:rsidRDefault="008B668C">
      <w:pPr>
        <w:spacing w:after="0" w:line="240" w:lineRule="auto"/>
        <w:rPr>
          <w:rFonts w:ascii="Arial" w:eastAsia="Arial" w:hAnsi="Arial" w:cs="Arial"/>
        </w:rPr>
      </w:pPr>
      <w:r>
        <w:rPr>
          <w:rFonts w:ascii="Arial" w:eastAsia="Arial" w:hAnsi="Arial" w:cs="Arial"/>
        </w:rPr>
        <w:t>Colorado State University Prevention Research Center</w:t>
      </w:r>
    </w:p>
    <w:p w14:paraId="745CC963" w14:textId="77777777" w:rsidR="0088799F" w:rsidRDefault="008B668C">
      <w:pPr>
        <w:spacing w:after="0" w:line="240" w:lineRule="auto"/>
        <w:rPr>
          <w:rFonts w:ascii="Arial" w:eastAsia="Arial" w:hAnsi="Arial" w:cs="Arial"/>
        </w:rPr>
      </w:pPr>
      <w:r>
        <w:rPr>
          <w:rFonts w:ascii="Arial" w:eastAsia="Arial" w:hAnsi="Arial" w:cs="Arial"/>
        </w:rPr>
        <w:t xml:space="preserve">Committee for Children </w:t>
      </w:r>
    </w:p>
    <w:p w14:paraId="26A6BFD2" w14:textId="77777777" w:rsidR="0088799F" w:rsidRDefault="008B668C">
      <w:pPr>
        <w:spacing w:after="0" w:line="240" w:lineRule="auto"/>
        <w:rPr>
          <w:rFonts w:ascii="Arial" w:eastAsia="Arial" w:hAnsi="Arial" w:cs="Arial"/>
        </w:rPr>
      </w:pPr>
      <w:r>
        <w:rPr>
          <w:rFonts w:ascii="Arial" w:eastAsia="Arial" w:hAnsi="Arial" w:cs="Arial"/>
        </w:rPr>
        <w:t>Families and Public Health Collaborative at Brigham Young University</w:t>
      </w:r>
    </w:p>
    <w:p w14:paraId="6619A1A5" w14:textId="77777777" w:rsidR="0088799F" w:rsidRDefault="008B668C">
      <w:pPr>
        <w:spacing w:after="0" w:line="240" w:lineRule="auto"/>
        <w:rPr>
          <w:rFonts w:ascii="Arial" w:eastAsia="Arial" w:hAnsi="Arial" w:cs="Arial"/>
        </w:rPr>
      </w:pPr>
      <w:r>
        <w:rPr>
          <w:rFonts w:ascii="Arial" w:eastAsia="Arial" w:hAnsi="Arial" w:cs="Arial"/>
        </w:rPr>
        <w:t>First Star</w:t>
      </w:r>
    </w:p>
    <w:p w14:paraId="005B264A" w14:textId="77777777" w:rsidR="0088799F" w:rsidRDefault="008B668C">
      <w:pPr>
        <w:spacing w:after="0" w:line="240" w:lineRule="auto"/>
        <w:rPr>
          <w:rFonts w:ascii="Arial" w:eastAsia="Arial" w:hAnsi="Arial" w:cs="Arial"/>
        </w:rPr>
      </w:pPr>
      <w:r>
        <w:rPr>
          <w:rFonts w:ascii="Arial" w:eastAsia="Arial" w:hAnsi="Arial" w:cs="Arial"/>
        </w:rPr>
        <w:t>Global Alliance for Behavioral Health and Social Justice</w:t>
      </w:r>
    </w:p>
    <w:p w14:paraId="43D89536" w14:textId="77777777" w:rsidR="0088799F" w:rsidRDefault="008B668C">
      <w:pPr>
        <w:spacing w:after="0" w:line="240" w:lineRule="auto"/>
        <w:rPr>
          <w:rFonts w:ascii="Arial" w:eastAsia="Arial" w:hAnsi="Arial" w:cs="Arial"/>
        </w:rPr>
      </w:pPr>
      <w:r>
        <w:rPr>
          <w:rFonts w:ascii="Arial" w:eastAsia="Arial" w:hAnsi="Arial" w:cs="Arial"/>
        </w:rPr>
        <w:t xml:space="preserve">Health People </w:t>
      </w:r>
    </w:p>
    <w:p w14:paraId="66E11886" w14:textId="77777777" w:rsidR="0088799F" w:rsidRDefault="008B668C">
      <w:pPr>
        <w:spacing w:after="0" w:line="240" w:lineRule="auto"/>
        <w:rPr>
          <w:rFonts w:ascii="Arial" w:eastAsia="Arial" w:hAnsi="Arial" w:cs="Arial"/>
        </w:rPr>
      </w:pPr>
      <w:r>
        <w:rPr>
          <w:rFonts w:ascii="Arial" w:eastAsia="Arial" w:hAnsi="Arial" w:cs="Arial"/>
        </w:rPr>
        <w:t>Institute on Violence, Abuse and Traum</w:t>
      </w:r>
      <w:r>
        <w:rPr>
          <w:rFonts w:ascii="Arial" w:eastAsia="Arial" w:hAnsi="Arial" w:cs="Arial"/>
        </w:rPr>
        <w:t>a</w:t>
      </w:r>
    </w:p>
    <w:p w14:paraId="6476C816" w14:textId="77777777" w:rsidR="0088799F" w:rsidRDefault="008B668C">
      <w:pPr>
        <w:spacing w:after="0" w:line="240" w:lineRule="auto"/>
        <w:rPr>
          <w:rFonts w:ascii="Arial" w:eastAsia="Arial" w:hAnsi="Arial" w:cs="Arial"/>
        </w:rPr>
      </w:pPr>
      <w:r>
        <w:rPr>
          <w:rFonts w:ascii="Arial" w:eastAsia="Arial" w:hAnsi="Arial" w:cs="Arial"/>
        </w:rPr>
        <w:t xml:space="preserve">Knowledge Alliance </w:t>
      </w:r>
    </w:p>
    <w:p w14:paraId="3BE6D40D" w14:textId="77777777" w:rsidR="0088799F" w:rsidRDefault="008B668C">
      <w:pPr>
        <w:spacing w:after="0" w:line="240" w:lineRule="auto"/>
        <w:rPr>
          <w:rFonts w:ascii="Arial" w:eastAsia="Arial" w:hAnsi="Arial" w:cs="Arial"/>
        </w:rPr>
      </w:pPr>
      <w:r>
        <w:rPr>
          <w:rFonts w:ascii="Arial" w:eastAsia="Arial" w:hAnsi="Arial" w:cs="Arial"/>
        </w:rPr>
        <w:t>National Partnership to End Interpersonal Violence Across the Lifespan</w:t>
      </w:r>
    </w:p>
    <w:p w14:paraId="2161CB52" w14:textId="77777777" w:rsidR="0088799F" w:rsidRDefault="008B668C">
      <w:pPr>
        <w:spacing w:after="0" w:line="240" w:lineRule="auto"/>
        <w:rPr>
          <w:rFonts w:ascii="Arial" w:eastAsia="Arial" w:hAnsi="Arial" w:cs="Arial"/>
        </w:rPr>
      </w:pPr>
      <w:r>
        <w:rPr>
          <w:rFonts w:ascii="Arial" w:eastAsia="Arial" w:hAnsi="Arial" w:cs="Arial"/>
        </w:rPr>
        <w:t>Opportunity Nation</w:t>
      </w:r>
    </w:p>
    <w:p w14:paraId="3FC1BF0A" w14:textId="77777777" w:rsidR="0088799F" w:rsidRDefault="008B668C">
      <w:pPr>
        <w:spacing w:after="0" w:line="240" w:lineRule="auto"/>
        <w:rPr>
          <w:rFonts w:ascii="Arial" w:eastAsia="Arial" w:hAnsi="Arial" w:cs="Arial"/>
        </w:rPr>
      </w:pPr>
      <w:r>
        <w:rPr>
          <w:rFonts w:ascii="Arial" w:eastAsia="Arial" w:hAnsi="Arial" w:cs="Arial"/>
        </w:rPr>
        <w:t>Parents as Teachers National Center</w:t>
      </w:r>
    </w:p>
    <w:p w14:paraId="06CAA998" w14:textId="77777777" w:rsidR="0088799F" w:rsidRDefault="008B668C">
      <w:pPr>
        <w:spacing w:after="0" w:line="240" w:lineRule="auto"/>
        <w:rPr>
          <w:rFonts w:ascii="Arial" w:eastAsia="Arial" w:hAnsi="Arial" w:cs="Arial"/>
        </w:rPr>
      </w:pPr>
      <w:r>
        <w:rPr>
          <w:rFonts w:ascii="Arial" w:eastAsia="Arial" w:hAnsi="Arial" w:cs="Arial"/>
        </w:rPr>
        <w:t>PolicyLab</w:t>
      </w:r>
    </w:p>
    <w:p w14:paraId="27D8E039" w14:textId="77777777" w:rsidR="0088799F" w:rsidRDefault="008B668C">
      <w:pPr>
        <w:spacing w:after="0" w:line="240" w:lineRule="auto"/>
        <w:rPr>
          <w:rFonts w:ascii="Arial" w:eastAsia="Arial" w:hAnsi="Arial" w:cs="Arial"/>
        </w:rPr>
      </w:pPr>
      <w:r>
        <w:rPr>
          <w:rFonts w:ascii="Arial" w:eastAsia="Arial" w:hAnsi="Arial" w:cs="Arial"/>
        </w:rPr>
        <w:t>School-Based Health Alliance</w:t>
      </w:r>
    </w:p>
    <w:p w14:paraId="461EA06E" w14:textId="77777777" w:rsidR="0088799F" w:rsidRDefault="008B668C">
      <w:pPr>
        <w:spacing w:after="0" w:line="240" w:lineRule="auto"/>
        <w:rPr>
          <w:rFonts w:ascii="Arial" w:eastAsia="Arial" w:hAnsi="Arial" w:cs="Arial"/>
        </w:rPr>
      </w:pPr>
      <w:r>
        <w:rPr>
          <w:rFonts w:ascii="Arial" w:eastAsia="Arial" w:hAnsi="Arial" w:cs="Arial"/>
        </w:rPr>
        <w:t xml:space="preserve">Secure Schools Alliance </w:t>
      </w:r>
    </w:p>
    <w:p w14:paraId="1FFD7EDE" w14:textId="77777777" w:rsidR="0088799F" w:rsidRDefault="008B668C">
      <w:pPr>
        <w:spacing w:after="0" w:line="240" w:lineRule="auto"/>
        <w:rPr>
          <w:rFonts w:ascii="Arial" w:eastAsia="Arial" w:hAnsi="Arial" w:cs="Arial"/>
        </w:rPr>
      </w:pPr>
      <w:r>
        <w:rPr>
          <w:rFonts w:ascii="Arial" w:eastAsia="Arial" w:hAnsi="Arial" w:cs="Arial"/>
        </w:rPr>
        <w:t>Society for Child and Family Policy and Practice</w:t>
      </w:r>
    </w:p>
    <w:p w14:paraId="5AF8DB7F" w14:textId="77777777" w:rsidR="0088799F" w:rsidRDefault="008B668C">
      <w:pPr>
        <w:spacing w:after="0" w:line="240" w:lineRule="auto"/>
        <w:rPr>
          <w:rFonts w:ascii="Arial" w:eastAsia="Arial" w:hAnsi="Arial" w:cs="Arial"/>
        </w:rPr>
      </w:pPr>
      <w:r>
        <w:rPr>
          <w:rFonts w:ascii="Arial" w:eastAsia="Arial" w:hAnsi="Arial" w:cs="Arial"/>
        </w:rPr>
        <w:t>Society for Preve</w:t>
      </w:r>
      <w:r>
        <w:rPr>
          <w:rFonts w:ascii="Arial" w:eastAsia="Arial" w:hAnsi="Arial" w:cs="Arial"/>
        </w:rPr>
        <w:t xml:space="preserve">ntion Research </w:t>
      </w:r>
      <w:r>
        <w:rPr>
          <w:noProof/>
        </w:rPr>
        <w:drawing>
          <wp:anchor distT="0" distB="0" distL="114300" distR="114300" simplePos="0" relativeHeight="251658240" behindDoc="0" locked="0" layoutInCell="1" hidden="0" allowOverlap="1" wp14:anchorId="0B464EF6" wp14:editId="234FEF50">
            <wp:simplePos x="0" y="0"/>
            <wp:positionH relativeFrom="column">
              <wp:posOffset>1171575</wp:posOffset>
            </wp:positionH>
            <wp:positionV relativeFrom="paragraph">
              <wp:posOffset>7334250</wp:posOffset>
            </wp:positionV>
            <wp:extent cx="4370832" cy="426720"/>
            <wp:effectExtent l="0" t="0" r="0" b="0"/>
            <wp:wrapSquare wrapText="bothSides" distT="0" distB="0" distL="114300" distR="11430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4370832" cy="426720"/>
                    </a:xfrm>
                    <a:prstGeom prst="rect">
                      <a:avLst/>
                    </a:prstGeom>
                    <a:ln/>
                  </pic:spPr>
                </pic:pic>
              </a:graphicData>
            </a:graphic>
          </wp:anchor>
        </w:drawing>
      </w:r>
    </w:p>
    <w:p w14:paraId="1809709B" w14:textId="77777777" w:rsidR="0088799F" w:rsidRDefault="008B668C">
      <w:pPr>
        <w:spacing w:after="0" w:line="240" w:lineRule="auto"/>
        <w:rPr>
          <w:rFonts w:ascii="Arial" w:eastAsia="Arial" w:hAnsi="Arial" w:cs="Arial"/>
        </w:rPr>
      </w:pPr>
      <w:r>
        <w:rPr>
          <w:rFonts w:ascii="Arial" w:eastAsia="Arial" w:hAnsi="Arial" w:cs="Arial"/>
          <w:color w:val="0A0A0A"/>
        </w:rPr>
        <w:t>Utah Center for Civic Improvement</w:t>
      </w:r>
    </w:p>
    <w:p w14:paraId="3D319924" w14:textId="77777777" w:rsidR="0088799F" w:rsidRDefault="0088799F">
      <w:pPr>
        <w:rPr>
          <w:rFonts w:ascii="Arial" w:eastAsia="Arial" w:hAnsi="Arial" w:cs="Arial"/>
        </w:rPr>
      </w:pPr>
    </w:p>
    <w:p w14:paraId="32CCC1B6" w14:textId="77777777" w:rsidR="0088799F" w:rsidRDefault="0088799F">
      <w:pPr>
        <w:rPr>
          <w:rFonts w:ascii="Arial" w:eastAsia="Arial" w:hAnsi="Arial" w:cs="Arial"/>
        </w:rPr>
      </w:pPr>
    </w:p>
    <w:p w14:paraId="74302F77" w14:textId="77777777" w:rsidR="0088799F" w:rsidRDefault="0088799F">
      <w:pPr>
        <w:rPr>
          <w:rFonts w:ascii="Arial" w:eastAsia="Arial" w:hAnsi="Arial" w:cs="Arial"/>
        </w:rPr>
      </w:pPr>
    </w:p>
    <w:p w14:paraId="7799EBF4" w14:textId="77777777" w:rsidR="0088799F" w:rsidRDefault="0088799F">
      <w:pPr>
        <w:rPr>
          <w:rFonts w:ascii="Arial" w:eastAsia="Arial" w:hAnsi="Arial" w:cs="Arial"/>
        </w:rPr>
      </w:pPr>
    </w:p>
    <w:p w14:paraId="66FDD611" w14:textId="77777777" w:rsidR="0088799F" w:rsidRDefault="008B668C">
      <w:pPr>
        <w:jc w:val="center"/>
        <w:rPr>
          <w:rFonts w:ascii="Arial" w:eastAsia="Arial" w:hAnsi="Arial" w:cs="Arial"/>
        </w:rPr>
      </w:pPr>
      <w:r>
        <w:rPr>
          <w:rFonts w:ascii="Arial" w:eastAsia="Arial" w:hAnsi="Arial" w:cs="Arial"/>
          <w:noProof/>
        </w:rPr>
        <w:drawing>
          <wp:inline distT="114300" distB="114300" distL="114300" distR="114300" wp14:anchorId="4C9C8F87" wp14:editId="2D3B021D">
            <wp:extent cx="3911958" cy="385763"/>
            <wp:effectExtent l="0" t="0" r="0" b="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911958" cy="385763"/>
                    </a:xfrm>
                    <a:prstGeom prst="rect">
                      <a:avLst/>
                    </a:prstGeom>
                    <a:ln/>
                  </pic:spPr>
                </pic:pic>
              </a:graphicData>
            </a:graphic>
          </wp:inline>
        </w:drawing>
      </w:r>
    </w:p>
    <w:sectPr w:rsidR="0088799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2D7D94"/>
    <w:multiLevelType w:val="multilevel"/>
    <w:tmpl w:val="F8B6EF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99F"/>
    <w:rsid w:val="0088799F"/>
    <w:rsid w:val="008B6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BDBE"/>
  <w15:docId w15:val="{1E996964-6AAE-44B6-9B90-959AD063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65F66"/>
    <w:rPr>
      <w:rFonts w:asciiTheme="minorHAnsi" w:hAnsiTheme="minorHAns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1E6129"/>
    <w:rPr>
      <w:sz w:val="16"/>
      <w:szCs w:val="16"/>
    </w:rPr>
  </w:style>
  <w:style w:type="paragraph" w:styleId="CommentText">
    <w:name w:val="annotation text"/>
    <w:basedOn w:val="Normal"/>
    <w:link w:val="CommentTextChar"/>
    <w:uiPriority w:val="99"/>
    <w:semiHidden/>
    <w:unhideWhenUsed/>
    <w:rsid w:val="001E6129"/>
    <w:pPr>
      <w:spacing w:line="240" w:lineRule="auto"/>
    </w:pPr>
    <w:rPr>
      <w:sz w:val="20"/>
      <w:szCs w:val="20"/>
    </w:rPr>
  </w:style>
  <w:style w:type="character" w:customStyle="1" w:styleId="CommentTextChar">
    <w:name w:val="Comment Text Char"/>
    <w:basedOn w:val="DefaultParagraphFont"/>
    <w:link w:val="CommentText"/>
    <w:uiPriority w:val="99"/>
    <w:semiHidden/>
    <w:rsid w:val="001E6129"/>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1E6129"/>
    <w:rPr>
      <w:b/>
      <w:bCs/>
    </w:rPr>
  </w:style>
  <w:style w:type="character" w:customStyle="1" w:styleId="CommentSubjectChar">
    <w:name w:val="Comment Subject Char"/>
    <w:basedOn w:val="CommentTextChar"/>
    <w:link w:val="CommentSubject"/>
    <w:uiPriority w:val="99"/>
    <w:semiHidden/>
    <w:rsid w:val="001E6129"/>
    <w:rPr>
      <w:rFonts w:asciiTheme="minorHAnsi" w:hAnsiTheme="minorHAnsi"/>
      <w:b/>
      <w:bCs/>
      <w:sz w:val="20"/>
      <w:szCs w:val="20"/>
    </w:rPr>
  </w:style>
  <w:style w:type="paragraph" w:styleId="BalloonText">
    <w:name w:val="Balloon Text"/>
    <w:basedOn w:val="Normal"/>
    <w:link w:val="BalloonTextChar"/>
    <w:uiPriority w:val="99"/>
    <w:semiHidden/>
    <w:unhideWhenUsed/>
    <w:rsid w:val="001E6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129"/>
    <w:rPr>
      <w:rFonts w:ascii="Segoe UI" w:hAnsi="Segoe UI" w:cs="Segoe UI"/>
      <w:sz w:val="18"/>
      <w:szCs w:val="18"/>
    </w:rPr>
  </w:style>
  <w:style w:type="paragraph" w:styleId="ListParagraph">
    <w:name w:val="List Paragraph"/>
    <w:basedOn w:val="Normal"/>
    <w:uiPriority w:val="34"/>
    <w:qFormat/>
    <w:rsid w:val="00BC4B1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f8VAYq9VgJnUcTAYYwNcfMCarA==">AMUW2mWK+pJXgCJwuz0pwvOzZDQiW8Cbslo+s7RB6On8ELx7YNNwofnjyU7NiZeZNqh6+jldWoaswi0sQxKGLR4lFYfxXACcML4Ckqs6RfLH3/vb667OnnI=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Fishbein</dc:creator>
  <cp:lastModifiedBy>Robin Kimbrough-Melton</cp:lastModifiedBy>
  <cp:revision>2</cp:revision>
  <dcterms:created xsi:type="dcterms:W3CDTF">2019-09-25T21:43:00Z</dcterms:created>
  <dcterms:modified xsi:type="dcterms:W3CDTF">2019-09-25T21:43:00Z</dcterms:modified>
</cp:coreProperties>
</file>